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F1134" w14:textId="77777777" w:rsidR="00390E9A" w:rsidRPr="00ED5179" w:rsidRDefault="00390E9A" w:rsidP="00456ECC">
      <w:pPr>
        <w:spacing w:after="0" w:line="480" w:lineRule="auto"/>
        <w:jc w:val="center"/>
        <w:rPr>
          <w:rFonts w:ascii="Times New Roman" w:hAnsi="Times New Roman" w:cs="Times New Roman"/>
          <w:b/>
          <w:bCs/>
          <w:sz w:val="28"/>
          <w:szCs w:val="28"/>
        </w:rPr>
      </w:pPr>
      <w:bookmarkStart w:id="0" w:name="_GoBack"/>
      <w:bookmarkEnd w:id="0"/>
      <w:r w:rsidRPr="00ED5179">
        <w:rPr>
          <w:rFonts w:ascii="Times New Roman" w:hAnsi="Times New Roman" w:cs="Times New Roman"/>
          <w:b/>
          <w:bCs/>
          <w:sz w:val="28"/>
          <w:szCs w:val="28"/>
        </w:rPr>
        <w:t>Ibrahim Müteferrika and the Beginnings of the Making of an Ottoman Historical Canon</w:t>
      </w:r>
    </w:p>
    <w:p w14:paraId="5A03CFDB" w14:textId="77777777" w:rsidR="000D2A53" w:rsidRPr="00ED5179" w:rsidRDefault="000D2A53" w:rsidP="00456ECC">
      <w:pPr>
        <w:spacing w:after="0" w:line="480" w:lineRule="auto"/>
        <w:jc w:val="center"/>
        <w:rPr>
          <w:rFonts w:ascii="Times New Roman" w:hAnsi="Times New Roman" w:cs="Times New Roman"/>
          <w:bCs/>
          <w:sz w:val="28"/>
          <w:szCs w:val="28"/>
        </w:rPr>
      </w:pPr>
      <w:r w:rsidRPr="00ED5179">
        <w:rPr>
          <w:rFonts w:ascii="Times New Roman" w:hAnsi="Times New Roman" w:cs="Times New Roman"/>
          <w:bCs/>
          <w:sz w:val="28"/>
          <w:szCs w:val="28"/>
        </w:rPr>
        <w:t>Abstract</w:t>
      </w:r>
    </w:p>
    <w:p w14:paraId="5F49E7D6" w14:textId="77777777" w:rsidR="005805A5" w:rsidRPr="00ED5179" w:rsidRDefault="000D2A53" w:rsidP="00456ECC">
      <w:pPr>
        <w:spacing w:after="0" w:line="480" w:lineRule="auto"/>
        <w:jc w:val="both"/>
        <w:rPr>
          <w:rFonts w:ascii="Times New Roman" w:hAnsi="Times New Roman" w:cs="Times New Roman"/>
          <w:sz w:val="28"/>
          <w:szCs w:val="28"/>
        </w:rPr>
      </w:pPr>
      <w:r w:rsidRPr="00ED5179">
        <w:rPr>
          <w:rFonts w:ascii="Times New Roman" w:hAnsi="Times New Roman" w:cs="Times New Roman"/>
          <w:sz w:val="28"/>
          <w:szCs w:val="28"/>
        </w:rPr>
        <w:t>This paper first</w:t>
      </w:r>
      <w:r w:rsidR="005805A5" w:rsidRPr="00ED5179">
        <w:rPr>
          <w:rFonts w:ascii="Times New Roman" w:hAnsi="Times New Roman" w:cs="Times New Roman"/>
          <w:sz w:val="28"/>
          <w:szCs w:val="28"/>
        </w:rPr>
        <w:t xml:space="preserve"> connect</w:t>
      </w:r>
      <w:r w:rsidRPr="00ED5179">
        <w:rPr>
          <w:rFonts w:ascii="Times New Roman" w:hAnsi="Times New Roman" w:cs="Times New Roman"/>
          <w:sz w:val="28"/>
          <w:szCs w:val="28"/>
        </w:rPr>
        <w:t>s</w:t>
      </w:r>
      <w:r w:rsidR="005805A5" w:rsidRPr="00ED5179">
        <w:rPr>
          <w:rFonts w:ascii="Times New Roman" w:hAnsi="Times New Roman" w:cs="Times New Roman"/>
          <w:sz w:val="28"/>
          <w:szCs w:val="28"/>
        </w:rPr>
        <w:t xml:space="preserve"> Ibrahim Müteferrika and his activities with t</w:t>
      </w:r>
      <w:r w:rsidRPr="00ED5179">
        <w:rPr>
          <w:rFonts w:ascii="Times New Roman" w:hAnsi="Times New Roman" w:cs="Times New Roman"/>
          <w:sz w:val="28"/>
          <w:szCs w:val="28"/>
        </w:rPr>
        <w:t xml:space="preserve">he areas of interest of </w:t>
      </w:r>
      <w:r w:rsidR="005805A5" w:rsidRPr="00ED5179">
        <w:rPr>
          <w:rFonts w:ascii="Times New Roman" w:hAnsi="Times New Roman" w:cs="Times New Roman"/>
          <w:sz w:val="28"/>
          <w:szCs w:val="28"/>
        </w:rPr>
        <w:t xml:space="preserve">the Sonderforschungsbereich 980, Teilproject C-6: “Transfer and Interference: Configurations of Knowledge in the Period of the Greek </w:t>
      </w:r>
      <w:r w:rsidR="005805A5" w:rsidRPr="00ED5179">
        <w:rPr>
          <w:rFonts w:ascii="Times New Roman" w:hAnsi="Times New Roman" w:cs="Times New Roman"/>
          <w:i/>
          <w:iCs/>
          <w:sz w:val="28"/>
          <w:szCs w:val="28"/>
        </w:rPr>
        <w:t>Homines Novi</w:t>
      </w:r>
      <w:r w:rsidR="005805A5" w:rsidRPr="00ED5179">
        <w:rPr>
          <w:rFonts w:ascii="Times New Roman" w:hAnsi="Times New Roman" w:cs="Times New Roman"/>
          <w:sz w:val="28"/>
          <w:szCs w:val="28"/>
        </w:rPr>
        <w:t xml:space="preserve"> in the Ottoman Empire (1641-1730).”</w:t>
      </w:r>
      <w:r w:rsidR="00CB7C87" w:rsidRPr="00ED5179">
        <w:rPr>
          <w:rFonts w:ascii="Times New Roman" w:hAnsi="Times New Roman" w:cs="Times New Roman"/>
          <w:sz w:val="28"/>
          <w:szCs w:val="28"/>
        </w:rPr>
        <w:t xml:space="preserve"> Not only was Ibrahim Müteferrika a contemporary of the Mavrocordatos dynasty whose cultural activities and patronage came to define the period of the Greek </w:t>
      </w:r>
      <w:r w:rsidR="00CB7C87" w:rsidRPr="00ED5179">
        <w:rPr>
          <w:rFonts w:ascii="Times New Roman" w:hAnsi="Times New Roman" w:cs="Times New Roman"/>
          <w:i/>
          <w:iCs/>
          <w:sz w:val="28"/>
          <w:szCs w:val="28"/>
        </w:rPr>
        <w:t>homines novi</w:t>
      </w:r>
      <w:r w:rsidR="00CB7C87" w:rsidRPr="00ED5179">
        <w:rPr>
          <w:rFonts w:ascii="Times New Roman" w:hAnsi="Times New Roman" w:cs="Times New Roman"/>
          <w:sz w:val="28"/>
          <w:szCs w:val="28"/>
        </w:rPr>
        <w:t>, but he was also a key figure in transfer of knowledge from Europe to the Ottoman Empire in the eighteenth c</w:t>
      </w:r>
      <w:r w:rsidRPr="00ED5179">
        <w:rPr>
          <w:rFonts w:ascii="Times New Roman" w:hAnsi="Times New Roman" w:cs="Times New Roman"/>
          <w:sz w:val="28"/>
          <w:szCs w:val="28"/>
        </w:rPr>
        <w:t>entury. After providing</w:t>
      </w:r>
      <w:r w:rsidR="00CB7C87" w:rsidRPr="00ED5179">
        <w:rPr>
          <w:rFonts w:ascii="Times New Roman" w:hAnsi="Times New Roman" w:cs="Times New Roman"/>
          <w:sz w:val="28"/>
          <w:szCs w:val="28"/>
        </w:rPr>
        <w:t xml:space="preserve"> examples of Ibrahim Müteferrika’s contributions to th</w:t>
      </w:r>
      <w:r w:rsidRPr="00ED5179">
        <w:rPr>
          <w:rFonts w:ascii="Times New Roman" w:hAnsi="Times New Roman" w:cs="Times New Roman"/>
          <w:sz w:val="28"/>
          <w:szCs w:val="28"/>
        </w:rPr>
        <w:t>is transfer of knowledge, the paper</w:t>
      </w:r>
      <w:r w:rsidR="00CB7C87" w:rsidRPr="00ED5179">
        <w:rPr>
          <w:rFonts w:ascii="Times New Roman" w:hAnsi="Times New Roman" w:cs="Times New Roman"/>
          <w:sz w:val="28"/>
          <w:szCs w:val="28"/>
        </w:rPr>
        <w:t xml:space="preserve"> move</w:t>
      </w:r>
      <w:r w:rsidRPr="00ED5179">
        <w:rPr>
          <w:rFonts w:ascii="Times New Roman" w:hAnsi="Times New Roman" w:cs="Times New Roman"/>
          <w:sz w:val="28"/>
          <w:szCs w:val="28"/>
        </w:rPr>
        <w:t>s closer to the topic of the</w:t>
      </w:r>
      <w:r w:rsidR="00390E9A" w:rsidRPr="00ED5179">
        <w:rPr>
          <w:rFonts w:ascii="Times New Roman" w:hAnsi="Times New Roman" w:cs="Times New Roman"/>
          <w:sz w:val="28"/>
          <w:szCs w:val="28"/>
        </w:rPr>
        <w:t xml:space="preserve"> present</w:t>
      </w:r>
      <w:r w:rsidR="00CB7C87" w:rsidRPr="00ED5179">
        <w:rPr>
          <w:rFonts w:ascii="Times New Roman" w:hAnsi="Times New Roman" w:cs="Times New Roman"/>
          <w:sz w:val="28"/>
          <w:szCs w:val="28"/>
        </w:rPr>
        <w:t xml:space="preserve"> workshop, “Historicity and Historiography,” underlining Ibrahim Müteferrika’s role in the making of the Ottoman historio</w:t>
      </w:r>
      <w:r w:rsidRPr="00ED5179">
        <w:rPr>
          <w:rFonts w:ascii="Times New Roman" w:hAnsi="Times New Roman" w:cs="Times New Roman"/>
          <w:sz w:val="28"/>
          <w:szCs w:val="28"/>
        </w:rPr>
        <w:t>graphical canon. Finally, this paper</w:t>
      </w:r>
      <w:r w:rsidR="00CB7C87" w:rsidRPr="00ED5179">
        <w:rPr>
          <w:rFonts w:ascii="Times New Roman" w:hAnsi="Times New Roman" w:cs="Times New Roman"/>
          <w:sz w:val="28"/>
          <w:szCs w:val="28"/>
        </w:rPr>
        <w:t xml:space="preserve"> discuss</w:t>
      </w:r>
      <w:r w:rsidRPr="00ED5179">
        <w:rPr>
          <w:rFonts w:ascii="Times New Roman" w:hAnsi="Times New Roman" w:cs="Times New Roman"/>
          <w:sz w:val="28"/>
          <w:szCs w:val="28"/>
        </w:rPr>
        <w:t>es</w:t>
      </w:r>
      <w:r w:rsidR="00CB7C87" w:rsidRPr="00ED5179">
        <w:rPr>
          <w:rFonts w:ascii="Times New Roman" w:hAnsi="Times New Roman" w:cs="Times New Roman"/>
          <w:sz w:val="28"/>
          <w:szCs w:val="28"/>
        </w:rPr>
        <w:t xml:space="preserve"> t</w:t>
      </w:r>
      <w:r w:rsidR="00495BCB" w:rsidRPr="00ED5179">
        <w:rPr>
          <w:rFonts w:ascii="Times New Roman" w:hAnsi="Times New Roman" w:cs="Times New Roman"/>
          <w:sz w:val="28"/>
          <w:szCs w:val="28"/>
        </w:rPr>
        <w:t>he different degrees of novelty</w:t>
      </w:r>
      <w:r w:rsidR="00CB7C87" w:rsidRPr="00ED5179">
        <w:rPr>
          <w:rFonts w:ascii="Times New Roman" w:hAnsi="Times New Roman" w:cs="Times New Roman"/>
          <w:sz w:val="28"/>
          <w:szCs w:val="28"/>
        </w:rPr>
        <w:t xml:space="preserve"> in the early modern Ottoman cultural transfers that Ibrahim Müteferrika took an active part in. </w:t>
      </w:r>
      <w:r w:rsidR="00495BCB" w:rsidRPr="00ED5179">
        <w:rPr>
          <w:rFonts w:ascii="Times New Roman" w:hAnsi="Times New Roman" w:cs="Times New Roman"/>
          <w:sz w:val="28"/>
          <w:szCs w:val="28"/>
        </w:rPr>
        <w:t xml:space="preserve">While he was a real </w:t>
      </w:r>
      <w:r w:rsidR="00495BCB" w:rsidRPr="00ED5179">
        <w:rPr>
          <w:rFonts w:ascii="Times New Roman" w:hAnsi="Times New Roman" w:cs="Times New Roman"/>
          <w:i/>
          <w:iCs/>
          <w:sz w:val="28"/>
          <w:szCs w:val="28"/>
        </w:rPr>
        <w:t>avantguard</w:t>
      </w:r>
      <w:r w:rsidR="00495BCB" w:rsidRPr="00ED5179">
        <w:rPr>
          <w:rFonts w:ascii="Times New Roman" w:hAnsi="Times New Roman" w:cs="Times New Roman"/>
          <w:sz w:val="28"/>
          <w:szCs w:val="28"/>
        </w:rPr>
        <w:t xml:space="preserve"> in technol</w:t>
      </w:r>
      <w:r w:rsidR="00390E9A" w:rsidRPr="00ED5179">
        <w:rPr>
          <w:rFonts w:ascii="Times New Roman" w:hAnsi="Times New Roman" w:cs="Times New Roman"/>
          <w:sz w:val="28"/>
          <w:szCs w:val="28"/>
        </w:rPr>
        <w:t>ogical and scientific areas</w:t>
      </w:r>
      <w:r w:rsidR="00495BCB" w:rsidRPr="00ED5179">
        <w:rPr>
          <w:rFonts w:ascii="Times New Roman" w:hAnsi="Times New Roman" w:cs="Times New Roman"/>
          <w:sz w:val="28"/>
          <w:szCs w:val="28"/>
        </w:rPr>
        <w:t>, in historiography, he remained relatively more</w:t>
      </w:r>
      <w:r w:rsidR="00C44890" w:rsidRPr="00ED5179">
        <w:rPr>
          <w:rFonts w:ascii="Times New Roman" w:hAnsi="Times New Roman" w:cs="Times New Roman"/>
          <w:sz w:val="28"/>
          <w:szCs w:val="28"/>
        </w:rPr>
        <w:t xml:space="preserve"> conservative.</w:t>
      </w:r>
    </w:p>
    <w:p w14:paraId="314FF06F" w14:textId="77777777" w:rsidR="00390E9A" w:rsidRPr="00ED5179" w:rsidRDefault="000D2A53" w:rsidP="00456ECC">
      <w:pPr>
        <w:spacing w:after="0" w:line="480" w:lineRule="auto"/>
        <w:ind w:firstLine="720"/>
        <w:jc w:val="both"/>
        <w:rPr>
          <w:rFonts w:ascii="Times New Roman" w:hAnsi="Times New Roman" w:cs="Times New Roman"/>
          <w:sz w:val="28"/>
          <w:szCs w:val="28"/>
          <w:lang w:bidi="ar-EG"/>
        </w:rPr>
      </w:pPr>
      <w:r w:rsidRPr="00ED5179">
        <w:rPr>
          <w:rFonts w:ascii="Times New Roman" w:hAnsi="Times New Roman" w:cs="Times New Roman"/>
          <w:sz w:val="28"/>
          <w:szCs w:val="28"/>
          <w:lang w:bidi="ar-EG"/>
        </w:rPr>
        <w:lastRenderedPageBreak/>
        <w:t>N</w:t>
      </w:r>
      <w:r w:rsidR="00FB6584" w:rsidRPr="00ED5179">
        <w:rPr>
          <w:rFonts w:ascii="Times New Roman" w:hAnsi="Times New Roman" w:cs="Times New Roman"/>
          <w:sz w:val="28"/>
          <w:szCs w:val="28"/>
          <w:lang w:bidi="ar-EG"/>
        </w:rPr>
        <w:t xml:space="preserve">ot only was Ibrahim Müteferrika contemporaneous with four members of the Mavrocordatos dynasty, but he was also working around similar circles with them while he </w:t>
      </w:r>
      <w:r w:rsidR="006E118A" w:rsidRPr="00ED5179">
        <w:rPr>
          <w:rFonts w:ascii="Times New Roman" w:hAnsi="Times New Roman" w:cs="Times New Roman"/>
          <w:sz w:val="28"/>
          <w:szCs w:val="28"/>
          <w:lang w:bidi="ar-EG"/>
        </w:rPr>
        <w:t>translated for the Ottoman court and dealt with southeast European diplomacy.</w:t>
      </w:r>
      <w:r w:rsidR="0013647D" w:rsidRPr="00ED5179">
        <w:rPr>
          <w:rFonts w:ascii="Times New Roman" w:hAnsi="Times New Roman" w:cs="Times New Roman"/>
          <w:sz w:val="28"/>
          <w:szCs w:val="28"/>
          <w:lang w:bidi="ar-EG"/>
        </w:rPr>
        <w:t xml:space="preserve"> </w:t>
      </w:r>
      <w:r w:rsidR="00AE3999" w:rsidRPr="00ED5179">
        <w:rPr>
          <w:rFonts w:ascii="Times New Roman" w:hAnsi="Times New Roman" w:cs="Times New Roman"/>
          <w:sz w:val="28"/>
          <w:szCs w:val="28"/>
          <w:lang w:bidi="ar-EG"/>
        </w:rPr>
        <w:t xml:space="preserve">As for the role that Ibrahim Müteferrika played in transfer of knowledge from Europe to the Ottoman Empire in the eighteenth century, </w:t>
      </w:r>
      <w:r w:rsidRPr="00ED5179">
        <w:rPr>
          <w:rFonts w:ascii="Times New Roman" w:hAnsi="Times New Roman" w:cs="Times New Roman"/>
          <w:sz w:val="28"/>
          <w:szCs w:val="28"/>
          <w:lang w:bidi="ar-EG"/>
        </w:rPr>
        <w:t>i</w:t>
      </w:r>
      <w:r w:rsidR="00AE3999" w:rsidRPr="00ED5179">
        <w:rPr>
          <w:rFonts w:ascii="Times New Roman" w:hAnsi="Times New Roman" w:cs="Times New Roman"/>
          <w:sz w:val="28"/>
          <w:szCs w:val="28"/>
          <w:lang w:bidi="ar-EG"/>
        </w:rPr>
        <w:t>n the words of the late Niyazi Berkes</w:t>
      </w:r>
      <w:r w:rsidRPr="00ED5179">
        <w:rPr>
          <w:rFonts w:ascii="Times New Roman" w:hAnsi="Times New Roman" w:cs="Times New Roman"/>
          <w:sz w:val="28"/>
          <w:szCs w:val="28"/>
          <w:lang w:bidi="ar-EG"/>
        </w:rPr>
        <w:t>:</w:t>
      </w:r>
    </w:p>
    <w:p w14:paraId="62C7972E" w14:textId="77777777" w:rsidR="00AE3999" w:rsidRPr="00ED5179" w:rsidRDefault="00AE3999" w:rsidP="00456ECC">
      <w:pPr>
        <w:spacing w:after="0" w:line="240" w:lineRule="auto"/>
        <w:ind w:left="720"/>
        <w:jc w:val="both"/>
        <w:rPr>
          <w:rFonts w:ascii="Times New Roman" w:hAnsi="Times New Roman" w:cs="Times New Roman"/>
          <w:sz w:val="28"/>
          <w:szCs w:val="28"/>
          <w:lang w:bidi="ar-EG"/>
        </w:rPr>
      </w:pPr>
      <w:r w:rsidRPr="00ED5179">
        <w:rPr>
          <w:rFonts w:ascii="Times New Roman" w:hAnsi="Times New Roman" w:cs="Times New Roman"/>
          <w:sz w:val="28"/>
          <w:szCs w:val="28"/>
          <w:lang w:bidi="ar-EG"/>
        </w:rPr>
        <w:t>Ibrahim Müteferrika (1670?-1754</w:t>
      </w:r>
      <w:r w:rsidR="00C44890" w:rsidRPr="00ED5179">
        <w:rPr>
          <w:rFonts w:ascii="Times New Roman" w:hAnsi="Times New Roman" w:cs="Times New Roman"/>
          <w:sz w:val="28"/>
          <w:szCs w:val="28"/>
          <w:lang w:bidi="ar-EG"/>
        </w:rPr>
        <w:t xml:space="preserve"> [</w:t>
      </w:r>
      <w:r w:rsidR="00747B46" w:rsidRPr="00ED5179">
        <w:rPr>
          <w:rFonts w:ascii="Times New Roman" w:hAnsi="Times New Roman" w:cs="Times New Roman"/>
          <w:i/>
          <w:iCs/>
          <w:sz w:val="28"/>
          <w:szCs w:val="28"/>
          <w:lang w:bidi="ar-EG"/>
        </w:rPr>
        <w:t>sic</w:t>
      </w:r>
      <w:r w:rsidR="00747B46" w:rsidRPr="00ED5179">
        <w:rPr>
          <w:rFonts w:ascii="Times New Roman" w:hAnsi="Times New Roman" w:cs="Times New Roman"/>
          <w:sz w:val="28"/>
          <w:szCs w:val="28"/>
          <w:lang w:bidi="ar-EG"/>
        </w:rPr>
        <w:t>.</w:t>
      </w:r>
      <w:r w:rsidR="00C44890" w:rsidRPr="00ED5179">
        <w:rPr>
          <w:rFonts w:ascii="Times New Roman" w:hAnsi="Times New Roman" w:cs="Times New Roman"/>
          <w:sz w:val="28"/>
          <w:szCs w:val="28"/>
          <w:lang w:bidi="ar-EG"/>
        </w:rPr>
        <w:t>]</w:t>
      </w:r>
      <w:r w:rsidRPr="00ED5179">
        <w:rPr>
          <w:rFonts w:ascii="Times New Roman" w:hAnsi="Times New Roman" w:cs="Times New Roman"/>
          <w:sz w:val="28"/>
          <w:szCs w:val="28"/>
          <w:lang w:bidi="ar-EG"/>
        </w:rPr>
        <w:t>) was, perhaps, the first of a series of Europeans who were destined to play a role in the history of the Westernization of Turkey as carriers of new ideas and as intermediaries between cultures. Ibrahim made an important contribution to the history of that process in which we are here interested.</w:t>
      </w:r>
    </w:p>
    <w:p w14:paraId="1DFFBD25" w14:textId="77777777" w:rsidR="00AE3999" w:rsidRPr="00ED5179" w:rsidRDefault="00AE3999" w:rsidP="00456ECC">
      <w:pPr>
        <w:spacing w:after="0" w:line="240" w:lineRule="auto"/>
        <w:jc w:val="both"/>
        <w:rPr>
          <w:rFonts w:ascii="Times New Roman" w:hAnsi="Times New Roman" w:cs="Times New Roman"/>
          <w:sz w:val="28"/>
          <w:szCs w:val="28"/>
          <w:lang w:bidi="ar-EG"/>
        </w:rPr>
      </w:pPr>
    </w:p>
    <w:p w14:paraId="7707EA76" w14:textId="77777777" w:rsidR="00001AB6" w:rsidRPr="00ED5179" w:rsidRDefault="00AE3999" w:rsidP="00456ECC">
      <w:pPr>
        <w:spacing w:after="0" w:line="480" w:lineRule="auto"/>
        <w:jc w:val="both"/>
        <w:rPr>
          <w:rFonts w:ascii="Times New Roman" w:hAnsi="Times New Roman" w:cs="Times New Roman"/>
          <w:sz w:val="28"/>
          <w:szCs w:val="28"/>
          <w:lang w:bidi="ar-EG"/>
        </w:rPr>
      </w:pPr>
      <w:r w:rsidRPr="00ED5179">
        <w:rPr>
          <w:rFonts w:ascii="Times New Roman" w:hAnsi="Times New Roman" w:cs="Times New Roman"/>
          <w:sz w:val="28"/>
          <w:szCs w:val="28"/>
          <w:lang w:bidi="ar-EG"/>
        </w:rPr>
        <w:t xml:space="preserve">Ibrahim Müteferrika has a crucial role in Berkes’ </w:t>
      </w:r>
      <w:r w:rsidRPr="00ED5179">
        <w:rPr>
          <w:rFonts w:ascii="Times New Roman" w:hAnsi="Times New Roman" w:cs="Times New Roman"/>
          <w:i/>
          <w:iCs/>
          <w:sz w:val="28"/>
          <w:szCs w:val="28"/>
          <w:lang w:bidi="ar-EG"/>
        </w:rPr>
        <w:t>The Development of Secularism in Turkey</w:t>
      </w:r>
      <w:r w:rsidRPr="00ED5179">
        <w:rPr>
          <w:rFonts w:ascii="Times New Roman" w:hAnsi="Times New Roman" w:cs="Times New Roman"/>
          <w:sz w:val="28"/>
          <w:szCs w:val="28"/>
          <w:lang w:bidi="ar-EG"/>
        </w:rPr>
        <w:t xml:space="preserve"> (1964). He appears in the first chapter entitled “Silhouette of a Renaissance” as the protagonist of the “First Innovation,” which</w:t>
      </w:r>
      <w:r w:rsidR="000D2A53" w:rsidRPr="00ED5179">
        <w:rPr>
          <w:rFonts w:ascii="Times New Roman" w:hAnsi="Times New Roman" w:cs="Times New Roman"/>
          <w:sz w:val="28"/>
          <w:szCs w:val="28"/>
          <w:lang w:bidi="ar-EG"/>
        </w:rPr>
        <w:t xml:space="preserve"> is</w:t>
      </w:r>
      <w:r w:rsidRPr="00ED5179">
        <w:rPr>
          <w:rFonts w:ascii="Times New Roman" w:hAnsi="Times New Roman" w:cs="Times New Roman"/>
          <w:sz w:val="28"/>
          <w:szCs w:val="28"/>
          <w:lang w:bidi="ar-EG"/>
        </w:rPr>
        <w:t xml:space="preserve"> the printing press. </w:t>
      </w:r>
      <w:r w:rsidR="00001AB6" w:rsidRPr="00ED5179">
        <w:rPr>
          <w:rFonts w:ascii="Times New Roman" w:hAnsi="Times New Roman" w:cs="Times New Roman"/>
          <w:sz w:val="28"/>
          <w:szCs w:val="28"/>
          <w:lang w:bidi="ar-EG"/>
        </w:rPr>
        <w:t xml:space="preserve">There are too many studies on </w:t>
      </w:r>
      <w:r w:rsidR="000D2A53" w:rsidRPr="00ED5179">
        <w:rPr>
          <w:rFonts w:ascii="Times New Roman" w:hAnsi="Times New Roman" w:cs="Times New Roman"/>
          <w:sz w:val="28"/>
          <w:szCs w:val="28"/>
          <w:lang w:bidi="ar-EG"/>
        </w:rPr>
        <w:t>this printing press, and providing</w:t>
      </w:r>
      <w:r w:rsidR="00001AB6" w:rsidRPr="00ED5179">
        <w:rPr>
          <w:rFonts w:ascii="Times New Roman" w:hAnsi="Times New Roman" w:cs="Times New Roman"/>
          <w:sz w:val="28"/>
          <w:szCs w:val="28"/>
          <w:lang w:bidi="ar-EG"/>
        </w:rPr>
        <w:t xml:space="preserve"> a long history of its foundation would be just to repeat what is already known. Inst</w:t>
      </w:r>
      <w:r w:rsidR="000D2A53" w:rsidRPr="00ED5179">
        <w:rPr>
          <w:rFonts w:ascii="Times New Roman" w:hAnsi="Times New Roman" w:cs="Times New Roman"/>
          <w:sz w:val="28"/>
          <w:szCs w:val="28"/>
          <w:lang w:bidi="ar-EG"/>
        </w:rPr>
        <w:t xml:space="preserve">ead, this paper </w:t>
      </w:r>
      <w:r w:rsidR="00F14328" w:rsidRPr="00ED5179">
        <w:rPr>
          <w:rFonts w:ascii="Times New Roman" w:hAnsi="Times New Roman" w:cs="Times New Roman"/>
          <w:sz w:val="28"/>
          <w:szCs w:val="28"/>
          <w:lang w:bidi="ar-EG"/>
        </w:rPr>
        <w:t>focus</w:t>
      </w:r>
      <w:r w:rsidR="000D2A53" w:rsidRPr="00ED5179">
        <w:rPr>
          <w:rFonts w:ascii="Times New Roman" w:hAnsi="Times New Roman" w:cs="Times New Roman"/>
          <w:sz w:val="28"/>
          <w:szCs w:val="28"/>
          <w:lang w:bidi="ar-EG"/>
        </w:rPr>
        <w:t>es</w:t>
      </w:r>
      <w:r w:rsidR="00F14328" w:rsidRPr="00ED5179">
        <w:rPr>
          <w:rFonts w:ascii="Times New Roman" w:hAnsi="Times New Roman" w:cs="Times New Roman"/>
          <w:sz w:val="28"/>
          <w:szCs w:val="28"/>
          <w:lang w:bidi="ar-EG"/>
        </w:rPr>
        <w:t xml:space="preserve"> on a </w:t>
      </w:r>
      <w:r w:rsidR="003F37C9" w:rsidRPr="00ED5179">
        <w:rPr>
          <w:rFonts w:ascii="Times New Roman" w:hAnsi="Times New Roman" w:cs="Times New Roman"/>
          <w:sz w:val="28"/>
          <w:szCs w:val="28"/>
          <w:lang w:bidi="ar-EG"/>
        </w:rPr>
        <w:t>few</w:t>
      </w:r>
      <w:r w:rsidR="00F14328" w:rsidRPr="00ED5179">
        <w:rPr>
          <w:rFonts w:ascii="Times New Roman" w:hAnsi="Times New Roman" w:cs="Times New Roman"/>
          <w:sz w:val="28"/>
          <w:szCs w:val="28"/>
          <w:lang w:bidi="ar-EG"/>
        </w:rPr>
        <w:t xml:space="preserve"> of</w:t>
      </w:r>
      <w:r w:rsidR="00001AB6" w:rsidRPr="00ED5179">
        <w:rPr>
          <w:rFonts w:ascii="Times New Roman" w:hAnsi="Times New Roman" w:cs="Times New Roman"/>
          <w:sz w:val="28"/>
          <w:szCs w:val="28"/>
          <w:lang w:bidi="ar-EG"/>
        </w:rPr>
        <w:t xml:space="preserve"> points to emphasize Ibrahim Müteferrika’s commitment to update</w:t>
      </w:r>
      <w:r w:rsidR="00747B46" w:rsidRPr="00ED5179">
        <w:rPr>
          <w:rFonts w:ascii="Times New Roman" w:hAnsi="Times New Roman" w:cs="Times New Roman"/>
          <w:sz w:val="28"/>
          <w:szCs w:val="28"/>
          <w:lang w:bidi="ar-EG"/>
        </w:rPr>
        <w:t xml:space="preserve"> the</w:t>
      </w:r>
      <w:r w:rsidR="00001AB6" w:rsidRPr="00ED5179">
        <w:rPr>
          <w:rFonts w:ascii="Times New Roman" w:hAnsi="Times New Roman" w:cs="Times New Roman"/>
          <w:sz w:val="28"/>
          <w:szCs w:val="28"/>
          <w:lang w:bidi="ar-EG"/>
        </w:rPr>
        <w:t xml:space="preserve"> Ottomans on their scientific knowledge with the most recent developments in Europe.</w:t>
      </w:r>
    </w:p>
    <w:p w14:paraId="05BAAFA6" w14:textId="77777777" w:rsidR="00F35750" w:rsidRPr="00ED5179" w:rsidRDefault="00001AB6" w:rsidP="00456ECC">
      <w:pPr>
        <w:spacing w:after="0" w:line="480" w:lineRule="auto"/>
        <w:jc w:val="both"/>
        <w:rPr>
          <w:rFonts w:ascii="Times New Roman" w:hAnsi="Times New Roman" w:cs="Times New Roman"/>
          <w:sz w:val="28"/>
          <w:szCs w:val="28"/>
          <w:lang w:bidi="fa-IR"/>
        </w:rPr>
      </w:pPr>
      <w:r w:rsidRPr="00ED5179">
        <w:rPr>
          <w:rFonts w:ascii="Times New Roman" w:hAnsi="Times New Roman" w:cs="Times New Roman"/>
          <w:sz w:val="28"/>
          <w:szCs w:val="28"/>
          <w:lang w:bidi="ar-EG"/>
        </w:rPr>
        <w:tab/>
      </w:r>
      <w:r w:rsidR="00F14328" w:rsidRPr="00ED5179">
        <w:rPr>
          <w:rFonts w:ascii="Times New Roman" w:hAnsi="Times New Roman" w:cs="Times New Roman"/>
          <w:sz w:val="28"/>
          <w:szCs w:val="28"/>
          <w:lang w:bidi="ar-EG"/>
        </w:rPr>
        <w:t xml:space="preserve">The first point I would like to emphasize is Ibrahim Müteferrika’s role in the dissemination of the </w:t>
      </w:r>
      <w:r w:rsidR="00EE55C8" w:rsidRPr="00ED5179">
        <w:rPr>
          <w:rFonts w:ascii="Times New Roman" w:hAnsi="Times New Roman" w:cs="Times New Roman"/>
          <w:sz w:val="28"/>
          <w:szCs w:val="28"/>
          <w:lang w:bidi="ar-EG"/>
        </w:rPr>
        <w:t xml:space="preserve">heliocentric model in astronomy in the Ottoman Empire. It was Ibrahim Müteferrika who inserted this model into one of the books that he </w:t>
      </w:r>
      <w:r w:rsidR="00EE55C8" w:rsidRPr="00ED5179">
        <w:rPr>
          <w:rFonts w:ascii="Times New Roman" w:hAnsi="Times New Roman" w:cs="Times New Roman"/>
          <w:sz w:val="28"/>
          <w:szCs w:val="28"/>
          <w:lang w:bidi="ar-EG"/>
        </w:rPr>
        <w:lastRenderedPageBreak/>
        <w:t xml:space="preserve">published in his printing press and thus disseminated it much more widely in the Ottoman Empire. </w:t>
      </w:r>
      <w:r w:rsidR="00FD422A" w:rsidRPr="00ED5179">
        <w:rPr>
          <w:rFonts w:ascii="Times New Roman" w:hAnsi="Times New Roman" w:cs="Times New Roman"/>
          <w:sz w:val="28"/>
          <w:szCs w:val="28"/>
          <w:lang w:bidi="ar-EG"/>
        </w:rPr>
        <w:t xml:space="preserve">This book was Katib Çelebi’s </w:t>
      </w:r>
      <w:r w:rsidR="00FD422A" w:rsidRPr="00ED5179">
        <w:rPr>
          <w:rFonts w:ascii="Times New Roman" w:hAnsi="Times New Roman" w:cs="Times New Roman"/>
          <w:i/>
          <w:iCs/>
          <w:sz w:val="28"/>
          <w:szCs w:val="28"/>
          <w:lang w:bidi="ar-EG"/>
        </w:rPr>
        <w:t>Cihânnümâ</w:t>
      </w:r>
      <w:r w:rsidR="00FD422A" w:rsidRPr="00ED5179">
        <w:rPr>
          <w:rFonts w:ascii="Times New Roman" w:hAnsi="Times New Roman" w:cs="Times New Roman"/>
          <w:sz w:val="28"/>
          <w:szCs w:val="28"/>
          <w:lang w:bidi="ar-EG"/>
        </w:rPr>
        <w:t xml:space="preserve">, a geographical work based on Mercator’s </w:t>
      </w:r>
      <w:r w:rsidR="00FD422A" w:rsidRPr="00ED5179">
        <w:rPr>
          <w:rFonts w:ascii="Times New Roman" w:hAnsi="Times New Roman" w:cs="Times New Roman"/>
          <w:i/>
          <w:iCs/>
          <w:sz w:val="28"/>
          <w:szCs w:val="28"/>
          <w:lang w:bidi="ar-EG"/>
        </w:rPr>
        <w:t>Atlas Minor</w:t>
      </w:r>
      <w:r w:rsidR="00FD422A" w:rsidRPr="00ED5179">
        <w:rPr>
          <w:rFonts w:ascii="Times New Roman" w:hAnsi="Times New Roman" w:cs="Times New Roman"/>
          <w:sz w:val="28"/>
          <w:szCs w:val="28"/>
          <w:lang w:bidi="ar-EG"/>
        </w:rPr>
        <w:t xml:space="preserve">, that Ibrahim Müteferrika expanded, using, among other sources, the geographical study of Ebu Bekir bin Behram of Damascus. </w:t>
      </w:r>
      <w:r w:rsidR="0013647D" w:rsidRPr="00ED5179">
        <w:rPr>
          <w:rFonts w:ascii="Times New Roman" w:hAnsi="Times New Roman" w:cs="Times New Roman"/>
          <w:sz w:val="28"/>
          <w:szCs w:val="28"/>
          <w:lang w:bidi="ar-EG"/>
        </w:rPr>
        <w:t xml:space="preserve">Other works of his in which he discussed the heliocentric model or updated the Ottoman world with scientific discoveries include his translation of </w:t>
      </w:r>
      <w:r w:rsidR="001647D9" w:rsidRPr="00ED5179">
        <w:rPr>
          <w:rFonts w:ascii="Times New Roman" w:hAnsi="Times New Roman" w:cs="Times New Roman"/>
          <w:sz w:val="28"/>
          <w:szCs w:val="28"/>
          <w:lang w:bidi="ar-EG"/>
        </w:rPr>
        <w:t xml:space="preserve">Andreas Cellarius’ </w:t>
      </w:r>
      <w:r w:rsidR="001647D9" w:rsidRPr="00ED5179">
        <w:rPr>
          <w:rFonts w:ascii="Times New Roman" w:hAnsi="Times New Roman" w:cs="Times New Roman"/>
          <w:i/>
          <w:iCs/>
          <w:sz w:val="28"/>
          <w:szCs w:val="28"/>
          <w:lang w:bidi="ar-EG"/>
        </w:rPr>
        <w:t>Harmonia macrocosmica</w:t>
      </w:r>
      <w:r w:rsidR="001647D9" w:rsidRPr="00ED5179">
        <w:rPr>
          <w:rFonts w:ascii="Times New Roman" w:hAnsi="Times New Roman" w:cs="Times New Roman"/>
          <w:sz w:val="28"/>
          <w:szCs w:val="28"/>
          <w:lang w:bidi="ar-EG"/>
        </w:rPr>
        <w:t xml:space="preserve"> the second edition of which was printed in</w:t>
      </w:r>
      <w:r w:rsidR="0013647D" w:rsidRPr="00ED5179">
        <w:rPr>
          <w:rFonts w:ascii="Times New Roman" w:hAnsi="Times New Roman" w:cs="Times New Roman"/>
          <w:sz w:val="28"/>
          <w:szCs w:val="28"/>
          <w:lang w:bidi="ar-EG"/>
        </w:rPr>
        <w:t xml:space="preserve"> Amsterdam in 1708; his edition of</w:t>
      </w:r>
      <w:r w:rsidR="001647D9" w:rsidRPr="00ED5179">
        <w:rPr>
          <w:rFonts w:ascii="Times New Roman" w:hAnsi="Times New Roman" w:cs="Times New Roman"/>
          <w:sz w:val="28"/>
          <w:szCs w:val="28"/>
          <w:lang w:bidi="ar-EG"/>
        </w:rPr>
        <w:t xml:space="preserve"> </w:t>
      </w:r>
      <w:r w:rsidR="003F37C9" w:rsidRPr="00ED5179">
        <w:rPr>
          <w:rFonts w:ascii="Times New Roman" w:hAnsi="Times New Roman" w:cs="Times New Roman"/>
          <w:sz w:val="28"/>
          <w:szCs w:val="28"/>
          <w:lang w:bidi="ar-EG"/>
        </w:rPr>
        <w:t xml:space="preserve">the </w:t>
      </w:r>
      <w:r w:rsidR="003F37C9" w:rsidRPr="00ED5179">
        <w:rPr>
          <w:rFonts w:ascii="Times New Roman" w:hAnsi="Times New Roman" w:cs="Times New Roman"/>
          <w:i/>
          <w:iCs/>
          <w:sz w:val="28"/>
          <w:szCs w:val="28"/>
          <w:lang w:bidi="ar-EG"/>
        </w:rPr>
        <w:t>History of the West Indies</w:t>
      </w:r>
      <w:r w:rsidR="003F37C9" w:rsidRPr="00ED5179">
        <w:rPr>
          <w:rFonts w:ascii="Times New Roman" w:hAnsi="Times New Roman" w:cs="Times New Roman"/>
          <w:sz w:val="28"/>
          <w:szCs w:val="28"/>
          <w:lang w:bidi="ar-EG"/>
        </w:rPr>
        <w:t xml:space="preserve"> (</w:t>
      </w:r>
      <w:r w:rsidR="003F37C9" w:rsidRPr="00ED5179">
        <w:rPr>
          <w:rFonts w:ascii="Times New Roman" w:hAnsi="Times New Roman" w:cs="Times New Roman"/>
          <w:i/>
          <w:iCs/>
          <w:sz w:val="28"/>
          <w:szCs w:val="28"/>
          <w:lang w:bidi="ar-EG"/>
        </w:rPr>
        <w:t>Ta’rîkh-i Hind-i garbî</w:t>
      </w:r>
      <w:r w:rsidR="003F37C9" w:rsidRPr="00ED5179">
        <w:rPr>
          <w:rFonts w:ascii="Times New Roman" w:hAnsi="Times New Roman" w:cs="Times New Roman"/>
          <w:sz w:val="28"/>
          <w:szCs w:val="28"/>
          <w:lang w:bidi="ar-EG"/>
        </w:rPr>
        <w:t xml:space="preserve">), also known as the </w:t>
      </w:r>
      <w:r w:rsidR="003F37C9" w:rsidRPr="00ED5179">
        <w:rPr>
          <w:rFonts w:ascii="Times New Roman" w:hAnsi="Times New Roman" w:cs="Times New Roman"/>
          <w:i/>
          <w:iCs/>
          <w:sz w:val="28"/>
          <w:szCs w:val="28"/>
          <w:lang w:bidi="ar-EG"/>
        </w:rPr>
        <w:t xml:space="preserve">New Report </w:t>
      </w:r>
      <w:r w:rsidR="003F37C9" w:rsidRPr="00ED5179">
        <w:rPr>
          <w:rFonts w:ascii="Times New Roman" w:hAnsi="Times New Roman" w:cs="Times New Roman"/>
          <w:sz w:val="28"/>
          <w:szCs w:val="28"/>
          <w:lang w:bidi="ar-EG"/>
        </w:rPr>
        <w:t>(</w:t>
      </w:r>
      <w:r w:rsidR="003F37C9" w:rsidRPr="00ED5179">
        <w:rPr>
          <w:rFonts w:ascii="Times New Roman" w:hAnsi="Times New Roman" w:cs="Times New Roman"/>
          <w:i/>
          <w:iCs/>
          <w:sz w:val="28"/>
          <w:szCs w:val="28"/>
          <w:lang w:bidi="ar-EG"/>
        </w:rPr>
        <w:t>Hadîs-i nev</w:t>
      </w:r>
      <w:r w:rsidR="003F37C9" w:rsidRPr="00ED5179">
        <w:rPr>
          <w:rFonts w:ascii="Times New Roman" w:hAnsi="Times New Roman" w:cs="Times New Roman"/>
          <w:sz w:val="28"/>
          <w:szCs w:val="28"/>
          <w:lang w:bidi="ar-EG"/>
        </w:rPr>
        <w:t>), a geographical and historical study by the Ottoman geographer and jurist Su‘ûdî that is based on Italian translations of Spanish works on the Spanish colonization of the New World</w:t>
      </w:r>
      <w:r w:rsidR="0013647D" w:rsidRPr="00ED5179">
        <w:rPr>
          <w:rFonts w:ascii="Times New Roman" w:hAnsi="Times New Roman" w:cs="Times New Roman"/>
          <w:sz w:val="28"/>
          <w:szCs w:val="28"/>
          <w:lang w:bidi="ar-EG"/>
        </w:rPr>
        <w:t xml:space="preserve">; and his translation and publication of </w:t>
      </w:r>
      <w:r w:rsidR="0013647D" w:rsidRPr="00ED5179">
        <w:rPr>
          <w:rFonts w:ascii="Times New Roman" w:hAnsi="Times New Roman" w:cs="Times New Roman"/>
          <w:sz w:val="28"/>
          <w:szCs w:val="28"/>
          <w:lang w:bidi="fa-IR"/>
        </w:rPr>
        <w:t xml:space="preserve">the </w:t>
      </w:r>
      <w:r w:rsidR="0013647D" w:rsidRPr="00ED5179">
        <w:rPr>
          <w:rFonts w:ascii="Times New Roman" w:hAnsi="Times New Roman" w:cs="Times New Roman"/>
          <w:i/>
          <w:iCs/>
          <w:sz w:val="28"/>
          <w:szCs w:val="28"/>
          <w:lang w:bidi="fa-IR"/>
        </w:rPr>
        <w:t>Füyûzât-</w:t>
      </w:r>
      <w:r w:rsidR="0013647D" w:rsidRPr="00ED5179">
        <w:rPr>
          <w:rFonts w:ascii="Times New Roman" w:hAnsi="Times New Roman" w:cs="Times New Roman"/>
          <w:i/>
          <w:iCs/>
          <w:sz w:val="28"/>
          <w:szCs w:val="28"/>
          <w:lang w:val="tr-TR" w:bidi="fa-IR"/>
        </w:rPr>
        <w:t>ı mıknatısiyye</w:t>
      </w:r>
      <w:r w:rsidR="0013647D" w:rsidRPr="00ED5179">
        <w:rPr>
          <w:rFonts w:ascii="Times New Roman" w:hAnsi="Times New Roman" w:cs="Times New Roman"/>
          <w:sz w:val="28"/>
          <w:szCs w:val="28"/>
          <w:lang w:val="tr-TR" w:bidi="fa-IR"/>
        </w:rPr>
        <w:t>,</w:t>
      </w:r>
      <w:r w:rsidR="0013647D" w:rsidRPr="00ED5179">
        <w:rPr>
          <w:rFonts w:ascii="Times New Roman" w:hAnsi="Times New Roman" w:cs="Times New Roman"/>
          <w:sz w:val="28"/>
          <w:szCs w:val="28"/>
          <w:lang w:bidi="ar-EG"/>
        </w:rPr>
        <w:t xml:space="preserve"> a short </w:t>
      </w:r>
      <w:r w:rsidR="0013647D" w:rsidRPr="00ED5179">
        <w:rPr>
          <w:rFonts w:ascii="Times New Roman" w:hAnsi="Times New Roman" w:cs="Times New Roman"/>
          <w:sz w:val="28"/>
          <w:szCs w:val="28"/>
          <w:lang w:val="tr-TR" w:bidi="fa-IR"/>
        </w:rPr>
        <w:t>treatise on the beneficial uses of magnets, focusing specifically on the dipping needle, and how it could be used to show the longitude and latitude.</w:t>
      </w:r>
    </w:p>
    <w:p w14:paraId="65F133AB" w14:textId="77777777" w:rsidR="002C7B03" w:rsidRPr="00ED5179" w:rsidRDefault="009F1045" w:rsidP="00456ECC">
      <w:pPr>
        <w:spacing w:after="0" w:line="480" w:lineRule="auto"/>
        <w:ind w:firstLine="720"/>
        <w:jc w:val="both"/>
        <w:rPr>
          <w:rFonts w:ascii="Times New Roman" w:hAnsi="Times New Roman" w:cs="Times New Roman"/>
          <w:sz w:val="28"/>
          <w:szCs w:val="28"/>
          <w:lang w:bidi="ar-EG"/>
        </w:rPr>
      </w:pPr>
      <w:r w:rsidRPr="00ED5179">
        <w:rPr>
          <w:rFonts w:ascii="Times New Roman" w:hAnsi="Times New Roman" w:cs="Times New Roman"/>
          <w:sz w:val="28"/>
          <w:szCs w:val="28"/>
          <w:lang w:val="tr-TR" w:bidi="fa-IR"/>
        </w:rPr>
        <w:t xml:space="preserve">Ibrahim Müteferrika’s </w:t>
      </w:r>
      <w:r w:rsidR="00E777D3" w:rsidRPr="00ED5179">
        <w:rPr>
          <w:rFonts w:ascii="Times New Roman" w:hAnsi="Times New Roman" w:cs="Times New Roman"/>
          <w:sz w:val="28"/>
          <w:szCs w:val="28"/>
          <w:lang w:val="tr-TR" w:bidi="fa-IR"/>
        </w:rPr>
        <w:t>historical publication</w:t>
      </w:r>
      <w:r w:rsidRPr="00ED5179">
        <w:rPr>
          <w:rFonts w:ascii="Times New Roman" w:hAnsi="Times New Roman" w:cs="Times New Roman"/>
          <w:sz w:val="28"/>
          <w:szCs w:val="28"/>
          <w:lang w:val="tr-TR" w:bidi="fa-IR"/>
        </w:rPr>
        <w:t xml:space="preserve"> are wide ranging, and his role in the establishment of the Ottoman historical canon is undeniable. Yet his historical publications do not include much that could be interpreted as transfer of knowledge, such as a history of Europe. In its last part, this paper argues that </w:t>
      </w:r>
      <w:r w:rsidR="00590135" w:rsidRPr="00ED5179">
        <w:rPr>
          <w:rFonts w:ascii="Times New Roman" w:hAnsi="Times New Roman" w:cs="Times New Roman"/>
          <w:sz w:val="28"/>
          <w:szCs w:val="28"/>
          <w:lang w:bidi="ar-EG"/>
        </w:rPr>
        <w:t xml:space="preserve">Ibrahim Müteferrika approaches the question of transfer of knowledge as a technocrat rather than a humanist. He identifies a political problem, the relative </w:t>
      </w:r>
      <w:r w:rsidR="00590135" w:rsidRPr="00ED5179">
        <w:rPr>
          <w:rFonts w:ascii="Times New Roman" w:hAnsi="Times New Roman" w:cs="Times New Roman"/>
          <w:sz w:val="28"/>
          <w:szCs w:val="28"/>
          <w:lang w:bidi="ar-EG"/>
        </w:rPr>
        <w:lastRenderedPageBreak/>
        <w:t>weakness of the Ottoman Empire vis-à-vis Europe but looks for a technical solution for it: transfer of science and technology in militarily strategic areas.</w:t>
      </w:r>
      <w:r w:rsidR="00062F6F" w:rsidRPr="00ED5179">
        <w:rPr>
          <w:rFonts w:ascii="Times New Roman" w:hAnsi="Times New Roman" w:cs="Times New Roman"/>
          <w:sz w:val="28"/>
          <w:szCs w:val="28"/>
          <w:lang w:bidi="ar-EG"/>
        </w:rPr>
        <w:t xml:space="preserve"> </w:t>
      </w:r>
    </w:p>
    <w:sectPr w:rsidR="002C7B03" w:rsidRPr="00ED5179" w:rsidSect="00390E9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EE866" w14:textId="77777777" w:rsidR="007A5E5F" w:rsidRDefault="007A5E5F" w:rsidP="00390E9A">
      <w:pPr>
        <w:spacing w:after="0" w:line="240" w:lineRule="auto"/>
      </w:pPr>
      <w:r>
        <w:separator/>
      </w:r>
    </w:p>
  </w:endnote>
  <w:endnote w:type="continuationSeparator" w:id="0">
    <w:p w14:paraId="28B8A7CD" w14:textId="77777777" w:rsidR="007A5E5F" w:rsidRDefault="007A5E5F" w:rsidP="0039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4C4A" w14:textId="77777777" w:rsidR="007A5E5F" w:rsidRDefault="007A5E5F" w:rsidP="00390E9A">
      <w:pPr>
        <w:spacing w:after="0" w:line="240" w:lineRule="auto"/>
      </w:pPr>
      <w:r>
        <w:separator/>
      </w:r>
    </w:p>
  </w:footnote>
  <w:footnote w:type="continuationSeparator" w:id="0">
    <w:p w14:paraId="6F39B699" w14:textId="77777777" w:rsidR="007A5E5F" w:rsidRDefault="007A5E5F" w:rsidP="00390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94209"/>
      <w:docPartObj>
        <w:docPartGallery w:val="Page Numbers (Top of Page)"/>
        <w:docPartUnique/>
      </w:docPartObj>
    </w:sdtPr>
    <w:sdtEndPr>
      <w:rPr>
        <w:rFonts w:asciiTheme="majorBidi" w:hAnsiTheme="majorBidi" w:cstheme="majorBidi"/>
        <w:noProof/>
        <w:sz w:val="20"/>
        <w:szCs w:val="20"/>
      </w:rPr>
    </w:sdtEndPr>
    <w:sdtContent>
      <w:p w14:paraId="7F3F2642" w14:textId="77777777" w:rsidR="00D55E11" w:rsidRPr="00390E9A" w:rsidRDefault="004760BC">
        <w:pPr>
          <w:pStyle w:val="Kopfzeile"/>
          <w:jc w:val="right"/>
          <w:rPr>
            <w:rFonts w:asciiTheme="majorBidi" w:hAnsiTheme="majorBidi" w:cstheme="majorBidi"/>
            <w:sz w:val="20"/>
            <w:szCs w:val="20"/>
          </w:rPr>
        </w:pPr>
        <w:r w:rsidRPr="00390E9A">
          <w:rPr>
            <w:rFonts w:asciiTheme="majorBidi" w:hAnsiTheme="majorBidi" w:cstheme="majorBidi"/>
            <w:sz w:val="20"/>
            <w:szCs w:val="20"/>
          </w:rPr>
          <w:fldChar w:fldCharType="begin"/>
        </w:r>
        <w:r w:rsidR="00D55E11" w:rsidRPr="00390E9A">
          <w:rPr>
            <w:rFonts w:asciiTheme="majorBidi" w:hAnsiTheme="majorBidi" w:cstheme="majorBidi"/>
            <w:sz w:val="20"/>
            <w:szCs w:val="20"/>
          </w:rPr>
          <w:instrText xml:space="preserve"> PAGE   \* MERGEFORMAT </w:instrText>
        </w:r>
        <w:r w:rsidRPr="00390E9A">
          <w:rPr>
            <w:rFonts w:asciiTheme="majorBidi" w:hAnsiTheme="majorBidi" w:cstheme="majorBidi"/>
            <w:sz w:val="20"/>
            <w:szCs w:val="20"/>
          </w:rPr>
          <w:fldChar w:fldCharType="separate"/>
        </w:r>
        <w:r w:rsidR="00362DFD">
          <w:rPr>
            <w:rFonts w:asciiTheme="majorBidi" w:hAnsiTheme="majorBidi" w:cstheme="majorBidi"/>
            <w:noProof/>
            <w:sz w:val="20"/>
            <w:szCs w:val="20"/>
          </w:rPr>
          <w:t>2</w:t>
        </w:r>
        <w:r w:rsidRPr="00390E9A">
          <w:rPr>
            <w:rFonts w:asciiTheme="majorBidi" w:hAnsiTheme="majorBidi" w:cstheme="majorBidi"/>
            <w:noProof/>
            <w:sz w:val="20"/>
            <w:szCs w:val="20"/>
          </w:rPr>
          <w:fldChar w:fldCharType="end"/>
        </w:r>
      </w:p>
    </w:sdtContent>
  </w:sdt>
  <w:p w14:paraId="34AB9BDA" w14:textId="77777777" w:rsidR="00D55E11" w:rsidRDefault="00D55E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0571" w14:textId="77777777" w:rsidR="00D55E11" w:rsidRDefault="000D2A53" w:rsidP="00390E9A">
    <w:pPr>
      <w:pStyle w:val="Kopfzeile"/>
      <w:rPr>
        <w:rFonts w:asciiTheme="majorBidi" w:hAnsiTheme="majorBidi" w:cstheme="majorBidi"/>
        <w:sz w:val="20"/>
        <w:szCs w:val="20"/>
      </w:rPr>
    </w:pPr>
    <w:r>
      <w:rPr>
        <w:rFonts w:asciiTheme="majorBidi" w:hAnsiTheme="majorBidi" w:cstheme="majorBidi"/>
        <w:sz w:val="20"/>
        <w:szCs w:val="20"/>
      </w:rPr>
      <w:t>Baki Tezcan</w:t>
    </w:r>
    <w:r w:rsidR="00D55E11">
      <w:rPr>
        <w:rFonts w:asciiTheme="majorBidi" w:hAnsiTheme="majorBidi" w:cstheme="majorBidi"/>
        <w:sz w:val="20"/>
        <w:szCs w:val="20"/>
      </w:rPr>
      <w:tab/>
    </w:r>
    <w:r>
      <w:rPr>
        <w:rFonts w:asciiTheme="majorBidi" w:hAnsiTheme="majorBidi" w:cstheme="majorBidi"/>
        <w:sz w:val="20"/>
        <w:szCs w:val="20"/>
      </w:rPr>
      <w:tab/>
      <w:t>UC Davis</w:t>
    </w:r>
  </w:p>
  <w:p w14:paraId="1C16B3F8" w14:textId="77777777" w:rsidR="00D55E11" w:rsidRPr="00390E9A" w:rsidRDefault="00D55E11" w:rsidP="00390E9A">
    <w:pPr>
      <w:pStyle w:val="Kopfzeile"/>
      <w:rPr>
        <w:rFonts w:asciiTheme="majorBidi" w:hAnsiTheme="majorBidi" w:cstheme="majorBidi"/>
        <w:sz w:val="20"/>
        <w:szCs w:val="20"/>
      </w:rPr>
    </w:pPr>
    <w:r>
      <w:rPr>
        <w:rFonts w:asciiTheme="majorBidi" w:hAnsiTheme="majorBidi" w:cstheme="majorBidi"/>
        <w:sz w:val="20"/>
        <w:szCs w:val="20"/>
      </w:rPr>
      <w:t xml:space="preserve"> </w:t>
    </w:r>
  </w:p>
  <w:p w14:paraId="2E02E492" w14:textId="77777777" w:rsidR="00D55E11" w:rsidRPr="00390E9A" w:rsidRDefault="00D55E11" w:rsidP="00390E9A">
    <w:pPr>
      <w:pStyle w:val="Kopfzeile"/>
      <w:jc w:val="center"/>
      <w:rPr>
        <w:rFonts w:asciiTheme="majorBidi" w:hAnsiTheme="majorBidi" w:cstheme="majorBidi"/>
        <w:i/>
        <w:iCs/>
        <w:sz w:val="20"/>
        <w:szCs w:val="20"/>
      </w:rPr>
    </w:pPr>
    <w:r w:rsidRPr="00390E9A">
      <w:rPr>
        <w:rFonts w:asciiTheme="majorBidi" w:hAnsiTheme="majorBidi" w:cstheme="majorBidi"/>
        <w:i/>
        <w:iCs/>
        <w:sz w:val="20"/>
        <w:szCs w:val="20"/>
      </w:rPr>
      <w:t>Historicity and Historiography: Early Modern Cultural Transfers</w:t>
    </w:r>
  </w:p>
  <w:p w14:paraId="400786B6" w14:textId="77777777" w:rsidR="00D55E11" w:rsidRDefault="00D55E11" w:rsidP="00390E9A">
    <w:pPr>
      <w:pStyle w:val="Kopfzeile"/>
      <w:jc w:val="center"/>
      <w:rPr>
        <w:rFonts w:asciiTheme="majorBidi" w:hAnsiTheme="majorBidi" w:cstheme="majorBidi"/>
        <w:sz w:val="20"/>
        <w:szCs w:val="20"/>
      </w:rPr>
    </w:pPr>
    <w:r>
      <w:rPr>
        <w:rFonts w:asciiTheme="majorBidi" w:hAnsiTheme="majorBidi" w:cstheme="majorBidi"/>
        <w:sz w:val="20"/>
        <w:szCs w:val="20"/>
      </w:rPr>
      <w:t>Workshop; 6-7 December 2013 – Berlin</w:t>
    </w:r>
  </w:p>
  <w:p w14:paraId="7BC7CD81" w14:textId="77777777" w:rsidR="00D55E11" w:rsidRDefault="00D55E11" w:rsidP="00390E9A">
    <w:pPr>
      <w:pStyle w:val="Kopfzeile"/>
      <w:jc w:val="center"/>
      <w:rPr>
        <w:rFonts w:asciiTheme="majorBidi" w:hAnsiTheme="majorBidi" w:cstheme="majorBidi"/>
        <w:sz w:val="20"/>
        <w:szCs w:val="20"/>
      </w:rPr>
    </w:pPr>
  </w:p>
  <w:p w14:paraId="3B23C274" w14:textId="77777777" w:rsidR="00D55E11" w:rsidRPr="00390E9A" w:rsidRDefault="00D55E11" w:rsidP="00390E9A">
    <w:pPr>
      <w:pStyle w:val="Kopfzeile"/>
      <w:jc w:val="center"/>
      <w:rPr>
        <w:rFonts w:asciiTheme="majorBidi" w:hAnsiTheme="majorBidi" w:cstheme="majorBid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F4"/>
    <w:rsid w:val="00001AB6"/>
    <w:rsid w:val="000435B5"/>
    <w:rsid w:val="000454B5"/>
    <w:rsid w:val="00062F6F"/>
    <w:rsid w:val="000657CF"/>
    <w:rsid w:val="000800F7"/>
    <w:rsid w:val="000A4AC4"/>
    <w:rsid w:val="000D2A53"/>
    <w:rsid w:val="000E3644"/>
    <w:rsid w:val="000E627F"/>
    <w:rsid w:val="001261FD"/>
    <w:rsid w:val="0013647D"/>
    <w:rsid w:val="001431E5"/>
    <w:rsid w:val="001452CD"/>
    <w:rsid w:val="001647D9"/>
    <w:rsid w:val="00196AA0"/>
    <w:rsid w:val="001E564A"/>
    <w:rsid w:val="002C7B03"/>
    <w:rsid w:val="002D556D"/>
    <w:rsid w:val="002E02E9"/>
    <w:rsid w:val="00330833"/>
    <w:rsid w:val="00362DFD"/>
    <w:rsid w:val="00390E9A"/>
    <w:rsid w:val="003E5B08"/>
    <w:rsid w:val="003F37C9"/>
    <w:rsid w:val="003F563D"/>
    <w:rsid w:val="004206DE"/>
    <w:rsid w:val="00440299"/>
    <w:rsid w:val="00440E25"/>
    <w:rsid w:val="00456ECC"/>
    <w:rsid w:val="00470675"/>
    <w:rsid w:val="004760BC"/>
    <w:rsid w:val="00495BCB"/>
    <w:rsid w:val="004A29B4"/>
    <w:rsid w:val="005034D7"/>
    <w:rsid w:val="005805A5"/>
    <w:rsid w:val="00590135"/>
    <w:rsid w:val="0062330F"/>
    <w:rsid w:val="00631176"/>
    <w:rsid w:val="006871B4"/>
    <w:rsid w:val="006E118A"/>
    <w:rsid w:val="00747B46"/>
    <w:rsid w:val="007A5E5F"/>
    <w:rsid w:val="007B1CF8"/>
    <w:rsid w:val="007C2BD4"/>
    <w:rsid w:val="007D1282"/>
    <w:rsid w:val="007E6D91"/>
    <w:rsid w:val="008104C4"/>
    <w:rsid w:val="00855238"/>
    <w:rsid w:val="00877926"/>
    <w:rsid w:val="00883A1F"/>
    <w:rsid w:val="0090736F"/>
    <w:rsid w:val="00923FAD"/>
    <w:rsid w:val="009A01DF"/>
    <w:rsid w:val="009A1944"/>
    <w:rsid w:val="009A612C"/>
    <w:rsid w:val="009B28F7"/>
    <w:rsid w:val="009D4381"/>
    <w:rsid w:val="009F1045"/>
    <w:rsid w:val="00A71DEF"/>
    <w:rsid w:val="00AB05A4"/>
    <w:rsid w:val="00AC6D4E"/>
    <w:rsid w:val="00AE3999"/>
    <w:rsid w:val="00B155F4"/>
    <w:rsid w:val="00B23AA2"/>
    <w:rsid w:val="00B61680"/>
    <w:rsid w:val="00BE5865"/>
    <w:rsid w:val="00C44890"/>
    <w:rsid w:val="00C46EA5"/>
    <w:rsid w:val="00C5410E"/>
    <w:rsid w:val="00CA314A"/>
    <w:rsid w:val="00CB7C87"/>
    <w:rsid w:val="00CE594F"/>
    <w:rsid w:val="00CE6DA4"/>
    <w:rsid w:val="00CF41B4"/>
    <w:rsid w:val="00D02156"/>
    <w:rsid w:val="00D5423B"/>
    <w:rsid w:val="00D55E11"/>
    <w:rsid w:val="00D6243D"/>
    <w:rsid w:val="00D62E3D"/>
    <w:rsid w:val="00D70515"/>
    <w:rsid w:val="00D868E8"/>
    <w:rsid w:val="00D94D48"/>
    <w:rsid w:val="00D96112"/>
    <w:rsid w:val="00E777D3"/>
    <w:rsid w:val="00E84892"/>
    <w:rsid w:val="00EB7A17"/>
    <w:rsid w:val="00EC25F0"/>
    <w:rsid w:val="00EC26B6"/>
    <w:rsid w:val="00ED5179"/>
    <w:rsid w:val="00EE55C8"/>
    <w:rsid w:val="00F11102"/>
    <w:rsid w:val="00F14328"/>
    <w:rsid w:val="00F35750"/>
    <w:rsid w:val="00F8635C"/>
    <w:rsid w:val="00FB6584"/>
    <w:rsid w:val="00FD42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5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HeaderChar"/>
    <w:uiPriority w:val="99"/>
    <w:unhideWhenUsed/>
    <w:rsid w:val="00390E9A"/>
    <w:pPr>
      <w:tabs>
        <w:tab w:val="center" w:pos="4680"/>
        <w:tab w:val="right" w:pos="9360"/>
      </w:tabs>
      <w:spacing w:after="0" w:line="240" w:lineRule="auto"/>
    </w:pPr>
  </w:style>
  <w:style w:type="character" w:customStyle="1" w:styleId="HeaderChar">
    <w:name w:val="Header Char"/>
    <w:basedOn w:val="Absatz-Standardschriftart"/>
    <w:link w:val="Kopfzeile"/>
    <w:uiPriority w:val="99"/>
    <w:rsid w:val="00390E9A"/>
  </w:style>
  <w:style w:type="paragraph" w:styleId="Fuzeile">
    <w:name w:val="footer"/>
    <w:basedOn w:val="Standard"/>
    <w:link w:val="FooterChar"/>
    <w:uiPriority w:val="99"/>
    <w:unhideWhenUsed/>
    <w:rsid w:val="00390E9A"/>
    <w:pPr>
      <w:tabs>
        <w:tab w:val="center" w:pos="4680"/>
        <w:tab w:val="right" w:pos="9360"/>
      </w:tabs>
      <w:spacing w:after="0" w:line="240" w:lineRule="auto"/>
    </w:pPr>
  </w:style>
  <w:style w:type="character" w:customStyle="1" w:styleId="FooterChar">
    <w:name w:val="Footer Char"/>
    <w:basedOn w:val="Absatz-Standardschriftart"/>
    <w:link w:val="Fuzeile"/>
    <w:uiPriority w:val="99"/>
    <w:rsid w:val="00390E9A"/>
  </w:style>
  <w:style w:type="paragraph" w:styleId="Funotentext">
    <w:name w:val="footnote text"/>
    <w:basedOn w:val="Standard"/>
    <w:link w:val="FootnoteTextChar"/>
    <w:semiHidden/>
    <w:rsid w:val="00F357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Absatz-Standardschriftart"/>
    <w:link w:val="Funotentext"/>
    <w:semiHidden/>
    <w:rsid w:val="00F35750"/>
    <w:rPr>
      <w:rFonts w:ascii="Times New Roman" w:eastAsia="Times New Roman" w:hAnsi="Times New Roman" w:cs="Times New Roman"/>
      <w:sz w:val="20"/>
      <w:szCs w:val="20"/>
    </w:rPr>
  </w:style>
  <w:style w:type="character" w:styleId="Funotenzeichen">
    <w:name w:val="footnote reference"/>
    <w:semiHidden/>
    <w:rsid w:val="00F35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HeaderChar"/>
    <w:uiPriority w:val="99"/>
    <w:unhideWhenUsed/>
    <w:rsid w:val="00390E9A"/>
    <w:pPr>
      <w:tabs>
        <w:tab w:val="center" w:pos="4680"/>
        <w:tab w:val="right" w:pos="9360"/>
      </w:tabs>
      <w:spacing w:after="0" w:line="240" w:lineRule="auto"/>
    </w:pPr>
  </w:style>
  <w:style w:type="character" w:customStyle="1" w:styleId="HeaderChar">
    <w:name w:val="Header Char"/>
    <w:basedOn w:val="Absatz-Standardschriftart"/>
    <w:link w:val="Kopfzeile"/>
    <w:uiPriority w:val="99"/>
    <w:rsid w:val="00390E9A"/>
  </w:style>
  <w:style w:type="paragraph" w:styleId="Fuzeile">
    <w:name w:val="footer"/>
    <w:basedOn w:val="Standard"/>
    <w:link w:val="FooterChar"/>
    <w:uiPriority w:val="99"/>
    <w:unhideWhenUsed/>
    <w:rsid w:val="00390E9A"/>
    <w:pPr>
      <w:tabs>
        <w:tab w:val="center" w:pos="4680"/>
        <w:tab w:val="right" w:pos="9360"/>
      </w:tabs>
      <w:spacing w:after="0" w:line="240" w:lineRule="auto"/>
    </w:pPr>
  </w:style>
  <w:style w:type="character" w:customStyle="1" w:styleId="FooterChar">
    <w:name w:val="Footer Char"/>
    <w:basedOn w:val="Absatz-Standardschriftart"/>
    <w:link w:val="Fuzeile"/>
    <w:uiPriority w:val="99"/>
    <w:rsid w:val="00390E9A"/>
  </w:style>
  <w:style w:type="paragraph" w:styleId="Funotentext">
    <w:name w:val="footnote text"/>
    <w:basedOn w:val="Standard"/>
    <w:link w:val="FootnoteTextChar"/>
    <w:semiHidden/>
    <w:rsid w:val="00F357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Absatz-Standardschriftart"/>
    <w:link w:val="Funotentext"/>
    <w:semiHidden/>
    <w:rsid w:val="00F35750"/>
    <w:rPr>
      <w:rFonts w:ascii="Times New Roman" w:eastAsia="Times New Roman" w:hAnsi="Times New Roman" w:cs="Times New Roman"/>
      <w:sz w:val="20"/>
      <w:szCs w:val="20"/>
    </w:rPr>
  </w:style>
  <w:style w:type="character" w:styleId="Funotenzeichen">
    <w:name w:val="footnote reference"/>
    <w:semiHidden/>
    <w:rsid w:val="00F35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3899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UC Davis - ARM</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Baki Tezcan</dc:creator>
  <cp:lastModifiedBy>Röwe, Stephanie</cp:lastModifiedBy>
  <cp:revision>2</cp:revision>
  <dcterms:created xsi:type="dcterms:W3CDTF">2014-08-20T14:41:00Z</dcterms:created>
  <dcterms:modified xsi:type="dcterms:W3CDTF">2014-08-20T14:41:00Z</dcterms:modified>
</cp:coreProperties>
</file>